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325D5C64" w:rsidR="00AE2CAD" w:rsidRPr="00FC3F8A" w:rsidRDefault="00806052" w:rsidP="00806052">
      <w:hyperlink r:id="rId6" w:history="1">
        <w:r w:rsidRPr="00036A77">
          <w:rPr>
            <w:rStyle w:val="Collegamentoipertestuale"/>
          </w:rPr>
          <w:t>https://www.milanofinanza.it/news/mfnewswires/2#640016820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2#640016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2025-02-24T15:38:00Z</dcterms:created>
  <dcterms:modified xsi:type="dcterms:W3CDTF">2025-02-24T15:39:00Z</dcterms:modified>
</cp:coreProperties>
</file>